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DB" w:rsidRDefault="006E188B" w:rsidP="006E188B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ETF投资修炼手册（</w:t>
      </w:r>
      <w:r w:rsidR="0047375B">
        <w:rPr>
          <w:rFonts w:ascii="黑体" w:eastAsia="黑体" w:hAnsi="黑体" w:hint="eastAsia"/>
          <w:b/>
          <w:sz w:val="36"/>
          <w:szCs w:val="36"/>
        </w:rPr>
        <w:t>三</w:t>
      </w:r>
      <w:r>
        <w:rPr>
          <w:rFonts w:ascii="黑体" w:eastAsia="黑体" w:hAnsi="黑体" w:hint="eastAsia"/>
          <w:b/>
          <w:sz w:val="36"/>
          <w:szCs w:val="36"/>
        </w:rPr>
        <w:t>）：</w:t>
      </w:r>
      <w:r w:rsidR="0047375B" w:rsidRPr="00BB6CF3">
        <w:rPr>
          <w:rFonts w:ascii="黑体" w:eastAsia="黑体" w:hAnsi="黑体" w:hint="eastAsia"/>
          <w:b/>
          <w:sz w:val="36"/>
          <w:szCs w:val="36"/>
        </w:rPr>
        <w:t>风险篇</w:t>
      </w:r>
    </w:p>
    <w:p w:rsidR="000E77F9" w:rsidRDefault="000E77F9" w:rsidP="000E77F9">
      <w:pPr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47375B" w:rsidRDefault="0047375B" w:rsidP="0047375B">
      <w:pPr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1、参与ETF投资有哪些需注意的事项？</w:t>
      </w:r>
    </w:p>
    <w:p w:rsidR="0047375B" w:rsidRDefault="0047375B" w:rsidP="0047375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答：投资者参与ETF投资需注意如下事项：</w:t>
      </w:r>
    </w:p>
    <w:p w:rsidR="0047375B" w:rsidRDefault="0047375B" w:rsidP="0047375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一是投资者需要了解自己的投资需求；</w:t>
      </w:r>
    </w:p>
    <w:p w:rsidR="0047375B" w:rsidRDefault="0047375B" w:rsidP="0047375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二是要关注ETF的流动性和跟踪效果；</w:t>
      </w:r>
    </w:p>
    <w:p w:rsidR="0047375B" w:rsidRDefault="0047375B" w:rsidP="0047375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三是应了解ETF投资的风险。</w:t>
      </w:r>
    </w:p>
    <w:p w:rsidR="0047375B" w:rsidRDefault="0047375B" w:rsidP="0047375B">
      <w:pPr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47375B" w:rsidRDefault="0047375B" w:rsidP="0047375B">
      <w:pPr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2、ETF投资风险有哪些？</w:t>
      </w:r>
      <w:r>
        <w:rPr>
          <w:rFonts w:ascii="仿宋_GB2312" w:eastAsia="仿宋_GB2312" w:hAnsi="仿宋" w:cs="仿宋"/>
          <w:b/>
          <w:bCs/>
          <w:sz w:val="30"/>
          <w:szCs w:val="30"/>
        </w:rPr>
        <w:t xml:space="preserve"> </w:t>
      </w:r>
    </w:p>
    <w:p w:rsidR="0047375B" w:rsidRDefault="0047375B" w:rsidP="0047375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答：作为一种创新型基金产品，ETF的投资风险主要有：</w:t>
      </w:r>
    </w:p>
    <w:p w:rsidR="0047375B" w:rsidRDefault="0047375B" w:rsidP="0047375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一是包括整个金融市场所蕴含的风险，即系统风险；</w:t>
      </w:r>
    </w:p>
    <w:p w:rsidR="0047375B" w:rsidRDefault="0047375B" w:rsidP="0047375B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二是包括所有开放式基金所共有的风险，比如，流动性风险、代理风险、申购赎回失败的风险等。</w:t>
      </w:r>
    </w:p>
    <w:p w:rsidR="0047375B" w:rsidRDefault="0047375B" w:rsidP="0047375B">
      <w:pPr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47375B" w:rsidRDefault="0047375B" w:rsidP="0047375B">
      <w:pPr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3、常用的ETF投资策略有哪些？</w:t>
      </w:r>
      <w:r>
        <w:rPr>
          <w:rFonts w:ascii="仿宋_GB2312" w:eastAsia="仿宋_GB2312" w:hAnsi="仿宋" w:cs="仿宋"/>
          <w:b/>
          <w:bCs/>
          <w:sz w:val="30"/>
          <w:szCs w:val="30"/>
        </w:rPr>
        <w:t xml:space="preserve"> </w:t>
      </w:r>
    </w:p>
    <w:p w:rsidR="0047375B" w:rsidRDefault="0047375B" w:rsidP="0047375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答：ETF投资组合的管理策略有很多种，包括买入持有策略、核心卫星策略、板块轮动策略等。</w:t>
      </w:r>
    </w:p>
    <w:p w:rsidR="0047375B" w:rsidRDefault="0047375B" w:rsidP="0047375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投资者需了解，无论所使用的是哪种策略，要想获得成功，至关重要的是要有指数</w:t>
      </w:r>
      <w:proofErr w:type="gramStart"/>
      <w:r>
        <w:rPr>
          <w:rFonts w:ascii="仿宋_GB2312" w:eastAsia="仿宋_GB2312" w:hint="eastAsia"/>
          <w:sz w:val="30"/>
          <w:szCs w:val="30"/>
        </w:rPr>
        <w:t>化投资</w:t>
      </w:r>
      <w:proofErr w:type="gramEnd"/>
      <w:r>
        <w:rPr>
          <w:rFonts w:ascii="仿宋_GB2312" w:eastAsia="仿宋_GB2312" w:hint="eastAsia"/>
          <w:sz w:val="30"/>
          <w:szCs w:val="30"/>
        </w:rPr>
        <w:t>的理念，根据投资目标制定计划并实施到底。</w:t>
      </w:r>
    </w:p>
    <w:p w:rsidR="0047375B" w:rsidRDefault="0047375B" w:rsidP="0047375B">
      <w:pPr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47375B" w:rsidRDefault="0047375B" w:rsidP="0047375B">
      <w:pPr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4</w:t>
      </w:r>
      <w:r>
        <w:rPr>
          <w:rFonts w:ascii="仿宋_GB2312" w:eastAsia="仿宋_GB2312" w:hAnsi="仿宋" w:cs="仿宋"/>
          <w:b/>
          <w:bCs/>
          <w:sz w:val="30"/>
          <w:szCs w:val="30"/>
        </w:rPr>
        <w:t>、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ETF风险对冲与套利的</w:t>
      </w:r>
      <w:r>
        <w:rPr>
          <w:rFonts w:ascii="仿宋_GB2312" w:eastAsia="仿宋_GB2312" w:hAnsi="仿宋" w:cs="仿宋"/>
          <w:b/>
          <w:bCs/>
          <w:sz w:val="30"/>
          <w:szCs w:val="30"/>
        </w:rPr>
        <w:t>主要模式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包括哪些？</w:t>
      </w:r>
      <w:r>
        <w:rPr>
          <w:rFonts w:ascii="仿宋_GB2312" w:eastAsia="仿宋_GB2312" w:hAnsi="仿宋" w:cs="仿宋"/>
          <w:b/>
          <w:bCs/>
          <w:sz w:val="30"/>
          <w:szCs w:val="30"/>
        </w:rPr>
        <w:t xml:space="preserve"> </w:t>
      </w:r>
    </w:p>
    <w:p w:rsidR="0047375B" w:rsidRDefault="0047375B" w:rsidP="0047375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答：</w:t>
      </w:r>
      <w:r>
        <w:rPr>
          <w:rFonts w:ascii="仿宋_GB2312" w:eastAsia="仿宋_GB2312" w:hAnsi="仿宋" w:cs="仿宋" w:hint="eastAsia"/>
          <w:bCs/>
          <w:sz w:val="30"/>
          <w:szCs w:val="30"/>
        </w:rPr>
        <w:t>ETF风险对冲与套利的</w:t>
      </w:r>
      <w:r>
        <w:rPr>
          <w:rFonts w:ascii="仿宋_GB2312" w:eastAsia="仿宋_GB2312" w:hAnsi="仿宋" w:cs="仿宋"/>
          <w:bCs/>
          <w:sz w:val="30"/>
          <w:szCs w:val="30"/>
        </w:rPr>
        <w:t>主要模式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包括，“T+0”套利策略、公司事件引发的套利策略、ETF产品之间的组合套利策略、ETF期现套利与高频交易策略与基于融资融券的交易策略。</w:t>
      </w:r>
    </w:p>
    <w:p w:rsidR="0047375B" w:rsidRDefault="0047375B" w:rsidP="0047375B">
      <w:pPr>
        <w:rPr>
          <w:rFonts w:ascii="仿宋_GB2312" w:eastAsia="仿宋_GB2312" w:hAnsi="仿宋" w:cs="仿宋"/>
          <w:b/>
          <w:bCs/>
          <w:sz w:val="30"/>
          <w:szCs w:val="30"/>
        </w:rPr>
      </w:pPr>
    </w:p>
    <w:p w:rsidR="0047375B" w:rsidRDefault="0047375B" w:rsidP="0047375B">
      <w:pPr>
        <w:rPr>
          <w:rFonts w:ascii="仿宋_GB2312" w:eastAsia="仿宋_GB2312" w:hAnsi="仿宋" w:cs="仿宋"/>
          <w:b/>
          <w:bCs/>
          <w:sz w:val="30"/>
          <w:szCs w:val="30"/>
        </w:rPr>
      </w:pPr>
      <w:r>
        <w:rPr>
          <w:rFonts w:ascii="仿宋_GB2312" w:eastAsia="仿宋_GB2312" w:hAnsi="仿宋" w:cs="仿宋" w:hint="eastAsia"/>
          <w:b/>
          <w:bCs/>
          <w:sz w:val="30"/>
          <w:szCs w:val="30"/>
        </w:rPr>
        <w:t>5</w:t>
      </w:r>
      <w:r>
        <w:rPr>
          <w:rFonts w:ascii="仿宋_GB2312" w:eastAsia="仿宋_GB2312" w:hAnsi="仿宋" w:cs="仿宋"/>
          <w:b/>
          <w:bCs/>
          <w:sz w:val="30"/>
          <w:szCs w:val="30"/>
        </w:rPr>
        <w:t>、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ETF风险对冲与套利的</w:t>
      </w:r>
      <w:r>
        <w:rPr>
          <w:rFonts w:ascii="仿宋_GB2312" w:eastAsia="仿宋_GB2312" w:hAnsi="仿宋" w:cs="仿宋"/>
          <w:b/>
          <w:bCs/>
          <w:sz w:val="30"/>
          <w:szCs w:val="30"/>
        </w:rPr>
        <w:t>主要风险</w:t>
      </w:r>
      <w:r>
        <w:rPr>
          <w:rFonts w:ascii="仿宋_GB2312" w:eastAsia="仿宋_GB2312" w:hAnsi="仿宋" w:cs="仿宋" w:hint="eastAsia"/>
          <w:b/>
          <w:bCs/>
          <w:sz w:val="30"/>
          <w:szCs w:val="30"/>
        </w:rPr>
        <w:t>有哪些？</w:t>
      </w:r>
      <w:r>
        <w:rPr>
          <w:rFonts w:ascii="仿宋_GB2312" w:eastAsia="仿宋_GB2312" w:hAnsi="仿宋" w:cs="仿宋"/>
          <w:b/>
          <w:bCs/>
          <w:sz w:val="30"/>
          <w:szCs w:val="30"/>
        </w:rPr>
        <w:t xml:space="preserve"> </w:t>
      </w:r>
    </w:p>
    <w:p w:rsidR="0047375B" w:rsidRDefault="0047375B" w:rsidP="0047375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答：ETF</w:t>
      </w:r>
      <w:r>
        <w:rPr>
          <w:rFonts w:ascii="仿宋_GB2312" w:eastAsia="仿宋_GB2312" w:hAnsi="仿宋" w:cs="仿宋" w:hint="eastAsia"/>
          <w:bCs/>
          <w:sz w:val="30"/>
          <w:szCs w:val="30"/>
        </w:rPr>
        <w:t>风险对冲与套利的</w:t>
      </w:r>
      <w:r>
        <w:rPr>
          <w:rFonts w:ascii="仿宋_GB2312" w:eastAsia="仿宋_GB2312" w:hAnsi="仿宋" w:cs="仿宋"/>
          <w:bCs/>
          <w:sz w:val="30"/>
          <w:szCs w:val="30"/>
        </w:rPr>
        <w:t>主要风险</w:t>
      </w:r>
      <w:r>
        <w:rPr>
          <w:rFonts w:ascii="仿宋_GB2312" w:eastAsia="仿宋_GB2312" w:hAnsi="仿宋" w:cs="仿宋" w:hint="eastAsia"/>
          <w:bCs/>
          <w:sz w:val="30"/>
          <w:szCs w:val="30"/>
        </w:rPr>
        <w:t>包括，市场流动性风险、对冲有效性不足的风险、ETF申购赎回清单的错误风险以及ETF现金替代模式的成本不确定风险。</w:t>
      </w:r>
    </w:p>
    <w:p w:rsidR="006E188B" w:rsidRPr="0047375B" w:rsidRDefault="006E188B" w:rsidP="000E77F9"/>
    <w:sectPr w:rsidR="006E188B" w:rsidRPr="0047375B" w:rsidSect="0032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188B"/>
    <w:rsid w:val="000246DF"/>
    <w:rsid w:val="000E77F9"/>
    <w:rsid w:val="00112242"/>
    <w:rsid w:val="00322BDB"/>
    <w:rsid w:val="0047375B"/>
    <w:rsid w:val="00637FB8"/>
    <w:rsid w:val="006E188B"/>
    <w:rsid w:val="00A0412D"/>
    <w:rsid w:val="00B17318"/>
    <w:rsid w:val="00DE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B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37F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37F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7F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37FB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37F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0246D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0246DF"/>
    <w:rPr>
      <w:rFonts w:asciiTheme="majorHAnsi" w:eastAsia="宋体" w:hAnsiTheme="majorHAnsi" w:cstheme="majorBidi"/>
      <w:b/>
      <w:bCs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0246DF"/>
    <w:pPr>
      <w:outlineLvl w:val="9"/>
    </w:pPr>
  </w:style>
  <w:style w:type="character" w:customStyle="1" w:styleId="3Char">
    <w:name w:val="标题 3 Char"/>
    <w:basedOn w:val="a0"/>
    <w:link w:val="3"/>
    <w:uiPriority w:val="9"/>
    <w:semiHidden/>
    <w:rsid w:val="00637FB8"/>
    <w:rPr>
      <w:b/>
      <w:bCs/>
      <w:sz w:val="32"/>
      <w:szCs w:val="32"/>
    </w:rPr>
  </w:style>
  <w:style w:type="paragraph" w:styleId="a4">
    <w:name w:val="No Spacing"/>
    <w:link w:val="Char0"/>
    <w:uiPriority w:val="1"/>
    <w:qFormat/>
    <w:rsid w:val="00637FB8"/>
    <w:rPr>
      <w:kern w:val="0"/>
      <w:sz w:val="22"/>
    </w:rPr>
  </w:style>
  <w:style w:type="character" w:customStyle="1" w:styleId="Char0">
    <w:name w:val="无间隔 Char"/>
    <w:basedOn w:val="a0"/>
    <w:link w:val="a4"/>
    <w:uiPriority w:val="1"/>
    <w:rsid w:val="00637FB8"/>
    <w:rPr>
      <w:kern w:val="0"/>
      <w:sz w:val="22"/>
    </w:rPr>
  </w:style>
  <w:style w:type="paragraph" w:customStyle="1" w:styleId="10">
    <w:name w:val="次标题1"/>
    <w:basedOn w:val="a"/>
    <w:link w:val="1Char0"/>
    <w:qFormat/>
    <w:rsid w:val="00637FB8"/>
    <w:pPr>
      <w:ind w:firstLineChars="200" w:firstLine="600"/>
    </w:pPr>
    <w:rPr>
      <w:rFonts w:ascii="黑体" w:eastAsia="黑体" w:hAnsi="黑体"/>
      <w:sz w:val="30"/>
      <w:szCs w:val="30"/>
    </w:rPr>
  </w:style>
  <w:style w:type="character" w:customStyle="1" w:styleId="1Char0">
    <w:name w:val="次标题1 Char"/>
    <w:basedOn w:val="a0"/>
    <w:link w:val="10"/>
    <w:rsid w:val="00637FB8"/>
    <w:rPr>
      <w:rFonts w:ascii="黑体" w:eastAsia="黑体" w:hAnsi="黑体"/>
      <w:sz w:val="30"/>
      <w:szCs w:val="30"/>
    </w:rPr>
  </w:style>
  <w:style w:type="paragraph" w:customStyle="1" w:styleId="20">
    <w:name w:val="此标题2"/>
    <w:basedOn w:val="a"/>
    <w:link w:val="2Char0"/>
    <w:qFormat/>
    <w:rsid w:val="00637FB8"/>
    <w:pPr>
      <w:ind w:firstLineChars="200" w:firstLine="602"/>
    </w:pPr>
    <w:rPr>
      <w:rFonts w:ascii="楷体_GB2312" w:eastAsia="楷体_GB2312" w:hAnsi="黑体"/>
      <w:b/>
      <w:sz w:val="30"/>
      <w:szCs w:val="30"/>
    </w:rPr>
  </w:style>
  <w:style w:type="character" w:customStyle="1" w:styleId="2Char0">
    <w:name w:val="此标题2 Char"/>
    <w:basedOn w:val="a0"/>
    <w:link w:val="20"/>
    <w:rsid w:val="00637FB8"/>
    <w:rPr>
      <w:rFonts w:ascii="楷体_GB2312" w:eastAsia="楷体_GB2312" w:hAnsi="黑体"/>
      <w:b/>
      <w:sz w:val="30"/>
      <w:szCs w:val="30"/>
    </w:rPr>
  </w:style>
  <w:style w:type="paragraph" w:customStyle="1" w:styleId="30">
    <w:name w:val="次标题3"/>
    <w:basedOn w:val="a"/>
    <w:link w:val="3Char0"/>
    <w:qFormat/>
    <w:rsid w:val="00637FB8"/>
    <w:pPr>
      <w:ind w:firstLineChars="200" w:firstLine="602"/>
    </w:pPr>
    <w:rPr>
      <w:rFonts w:ascii="楷体_GB2312" w:eastAsia="楷体_GB2312" w:hAnsi="黑体"/>
      <w:b/>
      <w:sz w:val="30"/>
      <w:szCs w:val="30"/>
    </w:rPr>
  </w:style>
  <w:style w:type="character" w:customStyle="1" w:styleId="3Char0">
    <w:name w:val="次标题3 Char"/>
    <w:basedOn w:val="a0"/>
    <w:link w:val="30"/>
    <w:rsid w:val="00637FB8"/>
    <w:rPr>
      <w:rFonts w:ascii="楷体_GB2312" w:eastAsia="楷体_GB2312" w:hAnsi="黑体"/>
      <w:b/>
      <w:sz w:val="30"/>
      <w:szCs w:val="30"/>
    </w:rPr>
  </w:style>
  <w:style w:type="paragraph" w:customStyle="1" w:styleId="11">
    <w:name w:val="正文1"/>
    <w:basedOn w:val="a"/>
    <w:link w:val="Char1"/>
    <w:qFormat/>
    <w:rsid w:val="00637FB8"/>
    <w:pPr>
      <w:ind w:firstLineChars="200" w:firstLine="600"/>
    </w:pPr>
    <w:rPr>
      <w:rFonts w:ascii="仿宋_GB2312" w:eastAsia="仿宋_GB2312" w:hAnsi="黑体"/>
      <w:sz w:val="30"/>
      <w:szCs w:val="30"/>
    </w:rPr>
  </w:style>
  <w:style w:type="character" w:customStyle="1" w:styleId="Char1">
    <w:name w:val="正文 Char"/>
    <w:basedOn w:val="a0"/>
    <w:link w:val="11"/>
    <w:rsid w:val="00637FB8"/>
    <w:rPr>
      <w:rFonts w:ascii="仿宋_GB2312" w:eastAsia="仿宋_GB2312" w:hAnsi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sse</cp:lastModifiedBy>
  <cp:revision>2</cp:revision>
  <dcterms:created xsi:type="dcterms:W3CDTF">2019-10-31T03:36:00Z</dcterms:created>
  <dcterms:modified xsi:type="dcterms:W3CDTF">2019-10-31T03:36:00Z</dcterms:modified>
</cp:coreProperties>
</file>