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0"/>
        </w:rPr>
      </w:pPr>
    </w:p>
    <w:p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关于宏信证券有限责任公司</w:t>
      </w:r>
    </w:p>
    <w:p>
      <w:pPr>
        <w:jc w:val="center"/>
        <w:rPr>
          <w:rFonts w:hint="eastAsia"/>
          <w:b/>
          <w:sz w:val="40"/>
        </w:rPr>
      </w:pPr>
      <w:r>
        <w:rPr>
          <w:rFonts w:hint="eastAsia"/>
          <w:b/>
          <w:sz w:val="40"/>
        </w:rPr>
        <w:t>20</w:t>
      </w:r>
      <w:r>
        <w:rPr>
          <w:rFonts w:hint="eastAsia"/>
          <w:b/>
          <w:sz w:val="40"/>
          <w:lang w:val="en-US" w:eastAsia="zh-CN"/>
        </w:rPr>
        <w:t>20</w:t>
      </w:r>
      <w:r>
        <w:rPr>
          <w:rFonts w:hint="eastAsia"/>
          <w:b/>
          <w:sz w:val="40"/>
        </w:rPr>
        <w:t>年非公开发行次级债券的公告</w:t>
      </w:r>
    </w:p>
    <w:p>
      <w:pPr>
        <w:jc w:val="center"/>
        <w:rPr>
          <w:rFonts w:hint="eastAsia"/>
          <w:b/>
          <w:sz w:val="40"/>
        </w:rPr>
      </w:pPr>
    </w:p>
    <w:p>
      <w:pPr>
        <w:spacing w:beforeLines="50" w:afterLines="50" w:line="360" w:lineRule="auto"/>
        <w:ind w:firstLine="482" w:firstLineChars="200"/>
        <w:rPr>
          <w:b/>
          <w:sz w:val="24"/>
        </w:rPr>
      </w:pPr>
      <w:r>
        <w:rPr>
          <w:rFonts w:hint="eastAsia"/>
          <w:b/>
          <w:sz w:val="24"/>
        </w:rPr>
        <w:t>本公司及董事会全体成员保证公告内容不存在虚假记载、误导性陈述或者重大遗漏，并对其内容的真实、准确和完整承担个别及连带责任。</w:t>
      </w:r>
    </w:p>
    <w:p>
      <w:pPr>
        <w:spacing w:beforeLines="50" w:afterLines="50" w:line="360" w:lineRule="auto"/>
        <w:ind w:firstLine="480" w:firstLineChars="200"/>
        <w:rPr>
          <w:rFonts w:hint="eastAsia"/>
          <w:sz w:val="24"/>
          <w:lang w:val="en-US" w:eastAsia="zh-CN"/>
        </w:rPr>
      </w:pPr>
      <w:r>
        <w:rPr>
          <w:rFonts w:hint="eastAsia"/>
          <w:sz w:val="24"/>
        </w:rPr>
        <w:t>宏信证券有限责任公司（以下简称“发行人”）于2020年5月7日收到上海证券交易所《关于对宏信证券有限责任公司非公开发行</w:t>
      </w:r>
      <w:bookmarkStart w:id="0" w:name="_GoBack"/>
      <w:bookmarkEnd w:id="0"/>
      <w:r>
        <w:rPr>
          <w:rFonts w:hint="eastAsia"/>
          <w:sz w:val="24"/>
        </w:rPr>
        <w:t>次级债券挂牌转让无异议的函》（上证函[2020] 966号），核准发行人向</w:t>
      </w:r>
      <w:r>
        <w:rPr>
          <w:rFonts w:hint="eastAsia"/>
          <w:sz w:val="24"/>
          <w:lang w:val="en-US" w:eastAsia="zh-CN"/>
        </w:rPr>
        <w:t>专业</w:t>
      </w:r>
      <w:r>
        <w:rPr>
          <w:rFonts w:hint="eastAsia"/>
          <w:sz w:val="24"/>
        </w:rPr>
        <w:t>投资者非公开发行面值不超过5亿元的次级债券（以下简称“本</w:t>
      </w:r>
      <w:r>
        <w:rPr>
          <w:rFonts w:hint="eastAsia"/>
          <w:sz w:val="24"/>
          <w:lang w:val="en-US" w:eastAsia="zh-CN"/>
        </w:rPr>
        <w:t>期</w:t>
      </w:r>
      <w:r>
        <w:rPr>
          <w:rFonts w:hint="eastAsia"/>
          <w:sz w:val="24"/>
        </w:rPr>
        <w:t>债券”）。现发行人拟启动宏信证券有限责任公司2020年非公开发行次级债券发行工作，我公司为本</w:t>
      </w:r>
      <w:r>
        <w:rPr>
          <w:rFonts w:hint="eastAsia"/>
          <w:sz w:val="24"/>
          <w:lang w:val="en-US" w:eastAsia="zh-CN"/>
        </w:rPr>
        <w:t>期</w:t>
      </w:r>
      <w:r>
        <w:rPr>
          <w:rFonts w:hint="eastAsia"/>
          <w:sz w:val="24"/>
        </w:rPr>
        <w:t>债券的主承销商，安信证券股份有限公司作为受托管理人。本期债券发行规模为</w:t>
      </w:r>
      <w:r>
        <w:rPr>
          <w:rFonts w:hint="eastAsia"/>
          <w:sz w:val="24"/>
          <w:lang w:val="en-US" w:eastAsia="zh-CN"/>
        </w:rPr>
        <w:t>不超过</w:t>
      </w:r>
      <w:r>
        <w:rPr>
          <w:rFonts w:hint="eastAsia"/>
          <w:sz w:val="24"/>
        </w:rPr>
        <w:t>5亿元，期限</w:t>
      </w:r>
      <w:r>
        <w:rPr>
          <w:rFonts w:hint="eastAsia"/>
          <w:sz w:val="24"/>
          <w:lang w:val="en-US" w:eastAsia="zh-CN"/>
        </w:rPr>
        <w:t>不超过</w:t>
      </w:r>
      <w:r>
        <w:rPr>
          <w:rFonts w:hint="eastAsia"/>
          <w:sz w:val="24"/>
        </w:rPr>
        <w:t>5年</w:t>
      </w:r>
      <w:r>
        <w:rPr>
          <w:rFonts w:hint="eastAsia"/>
          <w:sz w:val="24"/>
          <w:lang w:eastAsia="zh-CN"/>
        </w:rPr>
        <w:t>，</w:t>
      </w:r>
      <w:r>
        <w:rPr>
          <w:rFonts w:hint="eastAsia"/>
          <w:sz w:val="24"/>
          <w:lang w:val="en-US" w:eastAsia="zh-CN"/>
        </w:rPr>
        <w:t>具体发行时间未定</w:t>
      </w:r>
      <w:r>
        <w:rPr>
          <w:rFonts w:hint="eastAsia"/>
          <w:sz w:val="24"/>
        </w:rPr>
        <w:t>。</w:t>
      </w:r>
      <w:r>
        <w:rPr>
          <w:rFonts w:hint="eastAsia"/>
          <w:sz w:val="24"/>
          <w:lang w:val="en-US" w:eastAsia="zh-CN"/>
        </w:rPr>
        <w:t>以下为本期拟发行债券的基本条款：</w:t>
      </w:r>
    </w:p>
    <w:p>
      <w:pPr>
        <w:spacing w:line="360" w:lineRule="auto"/>
        <w:ind w:firstLine="482" w:firstLineChars="200"/>
        <w:rPr>
          <w:rFonts w:hint="eastAsia" w:asciiTheme="minorEastAsia" w:hAnsiTheme="minorEastAsia" w:eastAsiaTheme="minorEastAsia" w:cstheme="minorEastAsia"/>
          <w:b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24"/>
          <w:szCs w:val="24"/>
        </w:rPr>
        <w:t>（一）发行主体：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sz w:val="24"/>
          <w:szCs w:val="24"/>
        </w:rPr>
        <w:t>宏信证券有限责任公司。</w:t>
      </w:r>
    </w:p>
    <w:p>
      <w:pPr>
        <w:spacing w:line="360" w:lineRule="auto"/>
        <w:ind w:firstLine="482" w:firstLineChars="200"/>
        <w:rPr>
          <w:rFonts w:hint="eastAsia" w:asciiTheme="minorEastAsia" w:hAnsiTheme="minorEastAsia" w:eastAsiaTheme="minorEastAsia" w:cstheme="minorEastAsia"/>
          <w:b w:val="0"/>
          <w:bCs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24"/>
          <w:szCs w:val="24"/>
        </w:rPr>
        <w:t>（二）债券名称：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sz w:val="24"/>
          <w:szCs w:val="24"/>
        </w:rPr>
        <w:t>宏信证券有限责任公司2020年非公开发行次级债券。</w:t>
      </w:r>
    </w:p>
    <w:p>
      <w:pPr>
        <w:spacing w:line="360" w:lineRule="auto"/>
        <w:ind w:firstLine="482" w:firstLineChars="200"/>
        <w:rPr>
          <w:rFonts w:hint="eastAsia" w:asciiTheme="minorEastAsia" w:hAnsiTheme="minorEastAsia" w:eastAsiaTheme="minorEastAsia" w:cstheme="minorEastAsia"/>
          <w:b w:val="0"/>
          <w:bCs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24"/>
          <w:szCs w:val="24"/>
        </w:rPr>
        <w:t>（三）债券性质：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sz w:val="24"/>
          <w:szCs w:val="24"/>
        </w:rPr>
        <w:t>本</w:t>
      </w:r>
      <w:r>
        <w:rPr>
          <w:rFonts w:hint="eastAsia" w:asciiTheme="minorEastAsia" w:hAnsiTheme="minorEastAsia" w:cstheme="minorEastAsia"/>
          <w:b w:val="0"/>
          <w:bCs/>
          <w:color w:val="000000"/>
          <w:sz w:val="24"/>
          <w:szCs w:val="24"/>
          <w:lang w:val="en-US" w:eastAsia="zh-CN"/>
        </w:rPr>
        <w:t>期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sz w:val="24"/>
          <w:szCs w:val="24"/>
        </w:rPr>
        <w:t>次级债券是证券公司次级债券，是由宏信证券有限责任公司向专业投资者发行的、清偿顺序在普通债之后的有价证券。</w:t>
      </w:r>
    </w:p>
    <w:p>
      <w:pPr>
        <w:spacing w:line="360" w:lineRule="auto"/>
        <w:ind w:firstLine="482" w:firstLineChars="200"/>
        <w:rPr>
          <w:rFonts w:hint="eastAsia" w:asciiTheme="minorEastAsia" w:hAnsiTheme="minorEastAsia" w:eastAsiaTheme="minorEastAsia" w:cstheme="minorEastAsia"/>
          <w:b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24"/>
          <w:szCs w:val="24"/>
        </w:rPr>
        <w:t>（四）债券规模：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sz w:val="24"/>
          <w:szCs w:val="24"/>
          <w:lang w:val="en-US" w:eastAsia="zh-CN"/>
        </w:rPr>
        <w:t>不超过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sz w:val="24"/>
          <w:szCs w:val="24"/>
        </w:rPr>
        <w:t>50,000.00万元人民币。</w:t>
      </w:r>
    </w:p>
    <w:p>
      <w:pPr>
        <w:spacing w:line="360" w:lineRule="auto"/>
        <w:ind w:firstLine="482" w:firstLineChars="200"/>
        <w:rPr>
          <w:rFonts w:hint="eastAsia" w:asciiTheme="minorEastAsia" w:hAnsiTheme="minorEastAsia" w:eastAsiaTheme="minorEastAsia" w:cstheme="minorEastAsia"/>
          <w:b w:val="0"/>
          <w:bCs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24"/>
          <w:szCs w:val="24"/>
        </w:rPr>
        <w:t>（五）债券期限：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sz w:val="24"/>
          <w:szCs w:val="24"/>
        </w:rPr>
        <w:t>本</w:t>
      </w:r>
      <w:r>
        <w:rPr>
          <w:rFonts w:hint="eastAsia" w:asciiTheme="minorEastAsia" w:hAnsiTheme="minorEastAsia" w:cstheme="minorEastAsia"/>
          <w:b w:val="0"/>
          <w:bCs/>
          <w:color w:val="000000"/>
          <w:sz w:val="24"/>
          <w:szCs w:val="24"/>
          <w:lang w:val="en-US" w:eastAsia="zh-CN"/>
        </w:rPr>
        <w:t>期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sz w:val="24"/>
          <w:szCs w:val="24"/>
        </w:rPr>
        <w:t>发行的证券公司次级债券的期限</w:t>
      </w:r>
      <w:r>
        <w:rPr>
          <w:rFonts w:hint="eastAsia" w:asciiTheme="minorEastAsia" w:hAnsiTheme="minorEastAsia" w:cstheme="minorEastAsia"/>
          <w:b w:val="0"/>
          <w:bCs/>
          <w:color w:val="000000"/>
          <w:sz w:val="24"/>
          <w:szCs w:val="24"/>
          <w:lang w:val="en-US" w:eastAsia="zh-CN"/>
        </w:rPr>
        <w:t>为不超过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sz w:val="24"/>
          <w:szCs w:val="24"/>
        </w:rPr>
        <w:t>5年。</w:t>
      </w:r>
    </w:p>
    <w:p>
      <w:pPr>
        <w:spacing w:line="360" w:lineRule="auto"/>
        <w:ind w:firstLine="482" w:firstLineChars="200"/>
        <w:rPr>
          <w:rFonts w:hint="eastAsia" w:asciiTheme="minorEastAsia" w:hAnsiTheme="minorEastAsia" w:eastAsiaTheme="minorEastAsia" w:cstheme="minorEastAsia"/>
          <w:b w:val="0"/>
          <w:bCs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24"/>
          <w:szCs w:val="24"/>
        </w:rPr>
        <w:t>（七）票面利率及确定方式：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sz w:val="24"/>
          <w:szCs w:val="24"/>
        </w:rPr>
        <w:t>本</w:t>
      </w:r>
      <w:r>
        <w:rPr>
          <w:rFonts w:hint="eastAsia" w:asciiTheme="minorEastAsia" w:hAnsiTheme="minorEastAsia" w:cstheme="minorEastAsia"/>
          <w:b w:val="0"/>
          <w:bCs/>
          <w:color w:val="000000"/>
          <w:sz w:val="24"/>
          <w:szCs w:val="24"/>
          <w:lang w:val="en-US" w:eastAsia="zh-CN"/>
        </w:rPr>
        <w:t>期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sz w:val="24"/>
          <w:szCs w:val="24"/>
        </w:rPr>
        <w:t>债券为固定利率，票面利率将根据网下询价结果通过协议定价方式确定。债券利率不超过国务院限定的水平。</w:t>
      </w:r>
    </w:p>
    <w:p>
      <w:pPr>
        <w:spacing w:line="360" w:lineRule="auto"/>
        <w:ind w:firstLine="482" w:firstLineChars="200"/>
        <w:rPr>
          <w:rFonts w:hint="eastAsia" w:asciiTheme="minorEastAsia" w:hAnsiTheme="minorEastAsia" w:eastAsiaTheme="minorEastAsia" w:cstheme="minorEastAsia"/>
          <w:b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24"/>
          <w:szCs w:val="24"/>
        </w:rPr>
        <w:t>（八）还本付息方式：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sz w:val="24"/>
          <w:szCs w:val="24"/>
        </w:rPr>
        <w:t>本</w:t>
      </w:r>
      <w:r>
        <w:rPr>
          <w:rFonts w:hint="eastAsia" w:asciiTheme="minorEastAsia" w:hAnsiTheme="minorEastAsia" w:cstheme="minorEastAsia"/>
          <w:b w:val="0"/>
          <w:bCs/>
          <w:color w:val="000000"/>
          <w:sz w:val="24"/>
          <w:szCs w:val="24"/>
          <w:lang w:val="en-US" w:eastAsia="zh-CN"/>
        </w:rPr>
        <w:t>期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sz w:val="24"/>
          <w:szCs w:val="24"/>
        </w:rPr>
        <w:t>次级债券采用单利按年计息，不计复利。每年付息一次，到期一次还本，最后一期利息随本金的兑付一起支付。年度付息款项自付息日起不另计利息，本金自本金兑付日起不另计利息。</w:t>
      </w:r>
    </w:p>
    <w:p>
      <w:pPr>
        <w:spacing w:line="360" w:lineRule="auto"/>
        <w:ind w:firstLine="482" w:firstLineChars="200"/>
        <w:rPr>
          <w:rFonts w:hint="eastAsia" w:asciiTheme="minorEastAsia" w:hAnsiTheme="minorEastAsia" w:eastAsiaTheme="minorEastAsia" w:cstheme="minorEastAsia"/>
          <w:b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24"/>
          <w:szCs w:val="24"/>
        </w:rPr>
        <w:t>（</w:t>
      </w:r>
      <w:r>
        <w:rPr>
          <w:rFonts w:hint="eastAsia" w:asciiTheme="minorEastAsia" w:hAnsiTheme="minorEastAsia" w:cstheme="minorEastAsia"/>
          <w:b/>
          <w:color w:val="000000"/>
          <w:sz w:val="24"/>
          <w:szCs w:val="24"/>
          <w:lang w:val="en-US" w:eastAsia="zh-CN"/>
        </w:rPr>
        <w:t>九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24"/>
          <w:szCs w:val="24"/>
        </w:rPr>
        <w:t>）发行对象：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sz w:val="24"/>
          <w:szCs w:val="24"/>
        </w:rPr>
        <w:t>为符合《公司债券发行与交易管理办法》、《证券公司次级债管理规定》及相关法律法规规定的、具备相应风险识别和承担能力的专业投资者，且每次发行对象不超过200名。</w:t>
      </w:r>
    </w:p>
    <w:p>
      <w:pPr>
        <w:spacing w:line="360" w:lineRule="auto"/>
        <w:ind w:firstLine="482" w:firstLineChars="200"/>
        <w:rPr>
          <w:rFonts w:hint="eastAsia" w:asciiTheme="minorEastAsia" w:hAnsiTheme="minorEastAsia" w:eastAsiaTheme="minorEastAsia" w:cstheme="minorEastAsia"/>
          <w:b w:val="0"/>
          <w:bCs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24"/>
          <w:szCs w:val="24"/>
        </w:rPr>
        <w:t>（十）发行方式：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sz w:val="24"/>
          <w:szCs w:val="24"/>
        </w:rPr>
        <w:t>本</w:t>
      </w:r>
      <w:r>
        <w:rPr>
          <w:rFonts w:hint="eastAsia" w:asciiTheme="minorEastAsia" w:hAnsiTheme="minorEastAsia" w:cstheme="minorEastAsia"/>
          <w:b w:val="0"/>
          <w:bCs/>
          <w:color w:val="000000"/>
          <w:sz w:val="24"/>
          <w:szCs w:val="24"/>
          <w:lang w:val="en-US" w:eastAsia="zh-CN"/>
        </w:rPr>
        <w:t>期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sz w:val="24"/>
          <w:szCs w:val="24"/>
        </w:rPr>
        <w:t>债券向专业投资者非公开发行。</w:t>
      </w:r>
    </w:p>
    <w:p>
      <w:pPr>
        <w:spacing w:line="360" w:lineRule="auto"/>
        <w:ind w:firstLine="482" w:firstLineChars="200"/>
        <w:rPr>
          <w:rFonts w:hint="eastAsia" w:asciiTheme="minorEastAsia" w:hAnsiTheme="minorEastAsia" w:eastAsiaTheme="minorEastAsia" w:cstheme="minorEastAsia"/>
          <w:b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24"/>
          <w:szCs w:val="24"/>
        </w:rPr>
        <w:t>（十</w:t>
      </w:r>
      <w:r>
        <w:rPr>
          <w:rFonts w:hint="eastAsia" w:asciiTheme="minorEastAsia" w:hAnsiTheme="minorEastAsia" w:cstheme="minorEastAsia"/>
          <w:b/>
          <w:color w:val="000000"/>
          <w:sz w:val="24"/>
          <w:szCs w:val="24"/>
          <w:lang w:val="en-US" w:eastAsia="zh-CN"/>
        </w:rPr>
        <w:t>一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24"/>
          <w:szCs w:val="24"/>
        </w:rPr>
        <w:t>）次级条款：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sz w:val="24"/>
          <w:szCs w:val="24"/>
        </w:rPr>
        <w:t>本</w:t>
      </w:r>
      <w:r>
        <w:rPr>
          <w:rFonts w:hint="eastAsia" w:asciiTheme="minorEastAsia" w:hAnsiTheme="minorEastAsia" w:cstheme="minorEastAsia"/>
          <w:b w:val="0"/>
          <w:bCs/>
          <w:color w:val="000000"/>
          <w:sz w:val="24"/>
          <w:szCs w:val="24"/>
          <w:lang w:val="en-US" w:eastAsia="zh-CN"/>
        </w:rPr>
        <w:t>期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sz w:val="24"/>
          <w:szCs w:val="24"/>
        </w:rPr>
        <w:t>债券本金和利息的清偿顺序在发行人的普通债之后；与发行人已经发行的其他次级债处于同一清偿顺序。除非发行人结业、倒闭或清算，投资者不能要求发行人提前偿还本</w:t>
      </w:r>
      <w:r>
        <w:rPr>
          <w:rFonts w:hint="eastAsia" w:asciiTheme="minorEastAsia" w:hAnsiTheme="minorEastAsia" w:cstheme="minorEastAsia"/>
          <w:b w:val="0"/>
          <w:bCs/>
          <w:color w:val="000000"/>
          <w:sz w:val="24"/>
          <w:szCs w:val="24"/>
          <w:lang w:val="en-US" w:eastAsia="zh-CN"/>
        </w:rPr>
        <w:t>期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sz w:val="24"/>
          <w:szCs w:val="24"/>
        </w:rPr>
        <w:t>次级债券的本金。</w:t>
      </w:r>
    </w:p>
    <w:p>
      <w:pPr>
        <w:spacing w:line="360" w:lineRule="auto"/>
        <w:ind w:firstLine="482" w:firstLineChars="200"/>
        <w:rPr>
          <w:rFonts w:hint="eastAsia" w:asciiTheme="minorEastAsia" w:hAnsiTheme="minorEastAsia" w:eastAsiaTheme="minorEastAsia" w:cstheme="minorEastAsia"/>
          <w:b w:val="0"/>
          <w:bCs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24"/>
          <w:szCs w:val="24"/>
        </w:rPr>
        <w:t>（十</w:t>
      </w:r>
      <w:r>
        <w:rPr>
          <w:rFonts w:hint="eastAsia" w:asciiTheme="minorEastAsia" w:hAnsiTheme="minorEastAsia" w:cstheme="minorEastAsia"/>
          <w:b/>
          <w:color w:val="000000"/>
          <w:sz w:val="24"/>
          <w:szCs w:val="24"/>
          <w:lang w:val="en-US" w:eastAsia="zh-CN"/>
        </w:rPr>
        <w:t>二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24"/>
          <w:szCs w:val="24"/>
        </w:rPr>
        <w:t>）担保条款：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sz w:val="24"/>
          <w:szCs w:val="24"/>
        </w:rPr>
        <w:t>本</w:t>
      </w:r>
      <w:r>
        <w:rPr>
          <w:rFonts w:hint="eastAsia" w:asciiTheme="minorEastAsia" w:hAnsiTheme="minorEastAsia" w:cstheme="minorEastAsia"/>
          <w:b w:val="0"/>
          <w:bCs/>
          <w:color w:val="000000"/>
          <w:sz w:val="24"/>
          <w:szCs w:val="24"/>
          <w:lang w:val="en-US" w:eastAsia="zh-CN"/>
        </w:rPr>
        <w:t>期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sz w:val="24"/>
          <w:szCs w:val="24"/>
        </w:rPr>
        <w:t>次级债券无担保。</w:t>
      </w:r>
    </w:p>
    <w:p>
      <w:pPr>
        <w:spacing w:line="360" w:lineRule="auto"/>
        <w:ind w:firstLine="482" w:firstLineChars="200"/>
        <w:rPr>
          <w:rFonts w:hint="eastAsia" w:asciiTheme="minorEastAsia" w:hAnsiTheme="minorEastAsia" w:eastAsiaTheme="minorEastAsia" w:cstheme="minorEastAsia"/>
          <w:b w:val="0"/>
          <w:bCs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24"/>
          <w:szCs w:val="24"/>
        </w:rPr>
        <w:t>（十</w:t>
      </w:r>
      <w:r>
        <w:rPr>
          <w:rFonts w:hint="eastAsia" w:asciiTheme="minorEastAsia" w:hAnsiTheme="minorEastAsia" w:cstheme="minorEastAsia"/>
          <w:b/>
          <w:color w:val="000000"/>
          <w:sz w:val="24"/>
          <w:szCs w:val="24"/>
          <w:lang w:val="en-US" w:eastAsia="zh-CN"/>
        </w:rPr>
        <w:t>三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24"/>
          <w:szCs w:val="24"/>
        </w:rPr>
        <w:t>）信用等级条款：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sz w:val="24"/>
          <w:szCs w:val="24"/>
        </w:rPr>
        <w:t>本</w:t>
      </w:r>
      <w:r>
        <w:rPr>
          <w:rFonts w:hint="eastAsia" w:asciiTheme="minorEastAsia" w:hAnsiTheme="minorEastAsia" w:cstheme="minorEastAsia"/>
          <w:b w:val="0"/>
          <w:bCs/>
          <w:color w:val="000000"/>
          <w:sz w:val="24"/>
          <w:szCs w:val="24"/>
          <w:lang w:val="en-US" w:eastAsia="zh-CN"/>
        </w:rPr>
        <w:t>期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sz w:val="24"/>
          <w:szCs w:val="24"/>
        </w:rPr>
        <w:t>债券无评级。</w:t>
      </w:r>
    </w:p>
    <w:p>
      <w:pPr>
        <w:spacing w:line="360" w:lineRule="auto"/>
        <w:ind w:firstLine="482" w:firstLineChars="200"/>
        <w:rPr>
          <w:rFonts w:hint="eastAsia" w:asciiTheme="minorEastAsia" w:hAnsiTheme="minorEastAsia" w:eastAsiaTheme="minorEastAsia" w:cstheme="minorEastAsia"/>
          <w:b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24"/>
          <w:szCs w:val="24"/>
        </w:rPr>
        <w:t>（十</w:t>
      </w:r>
      <w:r>
        <w:rPr>
          <w:rFonts w:hint="eastAsia" w:asciiTheme="minorEastAsia" w:hAnsiTheme="minorEastAsia" w:cstheme="minorEastAsia"/>
          <w:b/>
          <w:color w:val="000000"/>
          <w:sz w:val="24"/>
          <w:szCs w:val="24"/>
          <w:lang w:val="en-US" w:eastAsia="zh-CN"/>
        </w:rPr>
        <w:t>四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24"/>
          <w:szCs w:val="24"/>
        </w:rPr>
        <w:t>）募集资金用途：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sz w:val="24"/>
          <w:szCs w:val="24"/>
        </w:rPr>
        <w:t>本</w:t>
      </w:r>
      <w:r>
        <w:rPr>
          <w:rFonts w:hint="eastAsia" w:asciiTheme="minorEastAsia" w:hAnsiTheme="minorEastAsia" w:cstheme="minorEastAsia"/>
          <w:b w:val="0"/>
          <w:bCs/>
          <w:color w:val="000000"/>
          <w:sz w:val="24"/>
          <w:szCs w:val="24"/>
          <w:lang w:val="en-US" w:eastAsia="zh-CN"/>
        </w:rPr>
        <w:t>期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sz w:val="24"/>
          <w:szCs w:val="24"/>
        </w:rPr>
        <w:t>债券募集资金用于补充公司营运资金，充实净资本。</w:t>
      </w:r>
    </w:p>
    <w:p>
      <w:pPr>
        <w:spacing w:line="360" w:lineRule="auto"/>
        <w:ind w:firstLine="482" w:firstLineChars="200"/>
        <w:rPr>
          <w:rFonts w:hint="eastAsia" w:asciiTheme="minorEastAsia" w:hAnsiTheme="minorEastAsia" w:eastAsiaTheme="minorEastAsia" w:cstheme="minorEastAsia"/>
          <w:b w:val="0"/>
          <w:bCs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24"/>
          <w:szCs w:val="24"/>
        </w:rPr>
        <w:t>（十</w:t>
      </w:r>
      <w:r>
        <w:rPr>
          <w:rFonts w:hint="eastAsia" w:asciiTheme="minorEastAsia" w:hAnsiTheme="minorEastAsia" w:cstheme="minorEastAsia"/>
          <w:b/>
          <w:color w:val="000000"/>
          <w:sz w:val="24"/>
          <w:szCs w:val="24"/>
          <w:lang w:val="en-US" w:eastAsia="zh-CN"/>
        </w:rPr>
        <w:t>五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24"/>
          <w:szCs w:val="24"/>
        </w:rPr>
        <w:t>）债券转让：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sz w:val="24"/>
          <w:szCs w:val="24"/>
        </w:rPr>
        <w:t>本</w:t>
      </w:r>
      <w:r>
        <w:rPr>
          <w:rFonts w:hint="eastAsia" w:asciiTheme="minorEastAsia" w:hAnsiTheme="minorEastAsia" w:cstheme="minorEastAsia"/>
          <w:b w:val="0"/>
          <w:bCs/>
          <w:color w:val="000000"/>
          <w:sz w:val="24"/>
          <w:szCs w:val="24"/>
          <w:lang w:val="en-US" w:eastAsia="zh-CN"/>
        </w:rPr>
        <w:t>期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sz w:val="24"/>
          <w:szCs w:val="24"/>
        </w:rPr>
        <w:t>债券在上海证券交易所进行挂牌转让。</w:t>
      </w:r>
    </w:p>
    <w:p>
      <w:pPr>
        <w:spacing w:line="360" w:lineRule="auto"/>
        <w:ind w:firstLine="482" w:firstLineChars="200"/>
        <w:rPr>
          <w:rFonts w:hint="eastAsia" w:asciiTheme="minorEastAsia" w:hAnsiTheme="minorEastAsia" w:eastAsiaTheme="minorEastAsia" w:cstheme="minorEastAsia"/>
          <w:b w:val="0"/>
          <w:bCs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24"/>
          <w:szCs w:val="24"/>
        </w:rPr>
        <w:t>（十</w:t>
      </w:r>
      <w:r>
        <w:rPr>
          <w:rFonts w:hint="eastAsia" w:asciiTheme="minorEastAsia" w:hAnsiTheme="minorEastAsia" w:cstheme="minorEastAsia"/>
          <w:b/>
          <w:color w:val="000000"/>
          <w:sz w:val="24"/>
          <w:szCs w:val="24"/>
          <w:lang w:val="en-US" w:eastAsia="zh-CN"/>
        </w:rPr>
        <w:t>六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24"/>
          <w:szCs w:val="24"/>
        </w:rPr>
        <w:t>）债券形式：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sz w:val="24"/>
          <w:szCs w:val="24"/>
        </w:rPr>
        <w:t>本</w:t>
      </w:r>
      <w:r>
        <w:rPr>
          <w:rFonts w:hint="eastAsia" w:asciiTheme="minorEastAsia" w:hAnsiTheme="minorEastAsia" w:cstheme="minorEastAsia"/>
          <w:b w:val="0"/>
          <w:bCs/>
          <w:color w:val="000000"/>
          <w:sz w:val="24"/>
          <w:szCs w:val="24"/>
          <w:lang w:val="en-US" w:eastAsia="zh-CN"/>
        </w:rPr>
        <w:t>期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sz w:val="24"/>
          <w:szCs w:val="24"/>
        </w:rPr>
        <w:t>次级债券为实名制记账式债券。投资者认购的本</w:t>
      </w:r>
      <w:r>
        <w:rPr>
          <w:rFonts w:hint="eastAsia" w:asciiTheme="minorEastAsia" w:hAnsiTheme="minorEastAsia" w:cstheme="minorEastAsia"/>
          <w:b w:val="0"/>
          <w:bCs/>
          <w:color w:val="000000"/>
          <w:sz w:val="24"/>
          <w:szCs w:val="24"/>
          <w:lang w:val="en-US" w:eastAsia="zh-CN"/>
        </w:rPr>
        <w:t>期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sz w:val="24"/>
          <w:szCs w:val="24"/>
        </w:rPr>
        <w:t>次级债券在登记机构开立的托管账户托管记载。本</w:t>
      </w:r>
      <w:r>
        <w:rPr>
          <w:rFonts w:hint="eastAsia" w:asciiTheme="minorEastAsia" w:hAnsiTheme="minorEastAsia" w:cstheme="minorEastAsia"/>
          <w:b w:val="0"/>
          <w:bCs/>
          <w:color w:val="000000"/>
          <w:sz w:val="24"/>
          <w:szCs w:val="24"/>
          <w:lang w:val="en-US" w:eastAsia="zh-CN"/>
        </w:rPr>
        <w:t>期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sz w:val="24"/>
          <w:szCs w:val="24"/>
        </w:rPr>
        <w:t>次级债券发行结束后，债券持有人可按照有关主管机构的规定进行债券的转让等操作。</w:t>
      </w:r>
    </w:p>
    <w:p>
      <w:pPr>
        <w:spacing w:line="360" w:lineRule="auto"/>
        <w:ind w:firstLine="482" w:firstLineChars="200"/>
        <w:rPr>
          <w:rFonts w:hint="eastAsia" w:asciiTheme="minorEastAsia" w:hAnsiTheme="minorEastAsia" w:eastAsiaTheme="minorEastAsia" w:cstheme="minorEastAsia"/>
          <w:b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24"/>
          <w:szCs w:val="24"/>
        </w:rPr>
        <w:t>（</w:t>
      </w:r>
      <w:r>
        <w:rPr>
          <w:rFonts w:hint="eastAsia" w:asciiTheme="minorEastAsia" w:hAnsiTheme="minorEastAsia" w:cstheme="minorEastAsia"/>
          <w:b/>
          <w:color w:val="000000"/>
          <w:sz w:val="24"/>
          <w:szCs w:val="24"/>
          <w:lang w:val="en-US" w:eastAsia="zh-CN"/>
        </w:rPr>
        <w:t>十七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24"/>
          <w:szCs w:val="24"/>
        </w:rPr>
        <w:t>）债券受托管理人：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sz w:val="24"/>
          <w:szCs w:val="24"/>
        </w:rPr>
        <w:t>安信证券股份有限公司。</w:t>
      </w:r>
    </w:p>
    <w:p>
      <w:pPr>
        <w:spacing w:beforeLines="50" w:afterLines="50" w:line="360" w:lineRule="auto"/>
        <w:ind w:firstLine="480" w:firstLineChars="200"/>
        <w:rPr>
          <w:rFonts w:hint="default"/>
          <w:sz w:val="24"/>
          <w:lang w:val="en-US" w:eastAsia="zh-CN"/>
        </w:rPr>
      </w:pPr>
    </w:p>
    <w:p>
      <w:pPr>
        <w:spacing w:beforeLines="50" w:afterLines="50" w:line="360" w:lineRule="auto"/>
        <w:ind w:firstLine="480" w:firstLineChars="200"/>
        <w:rPr>
          <w:rFonts w:hint="default"/>
          <w:sz w:val="24"/>
          <w:lang w:val="en-US" w:eastAsia="zh-CN"/>
        </w:rPr>
      </w:pPr>
    </w:p>
    <w:p>
      <w:pPr>
        <w:spacing w:beforeLines="50" w:afterLines="50" w:line="360" w:lineRule="auto"/>
        <w:ind w:firstLine="480" w:firstLineChars="200"/>
        <w:rPr>
          <w:rFonts w:hint="default"/>
          <w:sz w:val="24"/>
          <w:lang w:val="en-US" w:eastAsia="zh-CN"/>
        </w:rPr>
      </w:pPr>
    </w:p>
    <w:p>
      <w:pPr>
        <w:spacing w:beforeLines="50" w:afterLines="50" w:line="360" w:lineRule="auto"/>
        <w:ind w:firstLine="480" w:firstLineChars="200"/>
        <w:rPr>
          <w:rFonts w:hint="default"/>
          <w:sz w:val="24"/>
          <w:lang w:val="en-US" w:eastAsia="zh-CN"/>
        </w:rPr>
      </w:pPr>
    </w:p>
    <w:p>
      <w:pPr>
        <w:spacing w:beforeLines="50" w:afterLines="50" w:line="360" w:lineRule="auto"/>
        <w:ind w:firstLine="480" w:firstLineChars="200"/>
        <w:rPr>
          <w:rFonts w:hint="default"/>
          <w:sz w:val="24"/>
          <w:lang w:val="en-US" w:eastAsia="zh-CN"/>
        </w:rPr>
      </w:pPr>
    </w:p>
    <w:p>
      <w:pPr>
        <w:spacing w:line="240" w:lineRule="auto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page"/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（本页无正文，为《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宏信证券有限责任公司2020年非公开发行次级债券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的公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告》之盖章页）</w:t>
      </w:r>
    </w:p>
    <w:p>
      <w:pPr>
        <w:spacing w:beforeLines="50" w:afterLines="50" w:line="360" w:lineRule="auto"/>
        <w:rPr>
          <w:rFonts w:hint="default"/>
          <w:sz w:val="24"/>
          <w:lang w:val="en-US" w:eastAsia="zh-CN"/>
        </w:rPr>
      </w:pPr>
    </w:p>
    <w:p>
      <w:pPr>
        <w:spacing w:beforeLines="50" w:afterLines="50" w:line="360" w:lineRule="auto"/>
        <w:ind w:firstLine="480" w:firstLineChars="200"/>
        <w:rPr>
          <w:rFonts w:hint="default" w:eastAsiaTheme="minorEastAsia"/>
          <w:sz w:val="24"/>
          <w:lang w:val="en-US" w:eastAsia="zh-CN"/>
        </w:rPr>
      </w:pPr>
    </w:p>
    <w:p>
      <w:pPr>
        <w:spacing w:beforeLines="50" w:afterLines="50" w:line="360" w:lineRule="auto"/>
        <w:ind w:firstLine="480" w:firstLineChars="200"/>
        <w:rPr>
          <w:rFonts w:hint="default" w:eastAsiaTheme="minorEastAsia"/>
          <w:sz w:val="24"/>
          <w:lang w:val="en-US" w:eastAsia="zh-CN"/>
        </w:rPr>
      </w:pPr>
    </w:p>
    <w:p>
      <w:pPr>
        <w:spacing w:beforeLines="50" w:afterLines="50" w:line="360" w:lineRule="auto"/>
        <w:ind w:firstLine="480" w:firstLineChars="200"/>
        <w:rPr>
          <w:rFonts w:hint="default" w:eastAsiaTheme="minorEastAsia"/>
          <w:sz w:val="24"/>
          <w:lang w:val="en-US" w:eastAsia="zh-CN"/>
        </w:rPr>
      </w:pPr>
    </w:p>
    <w:p>
      <w:pPr>
        <w:spacing w:beforeLines="50" w:afterLines="50" w:line="360" w:lineRule="auto"/>
        <w:ind w:firstLine="480" w:firstLineChars="200"/>
        <w:rPr>
          <w:rFonts w:hint="default" w:eastAsiaTheme="minorEastAsia"/>
          <w:sz w:val="24"/>
          <w:lang w:val="en-US" w:eastAsia="zh-CN"/>
        </w:rPr>
      </w:pPr>
    </w:p>
    <w:p>
      <w:pPr>
        <w:spacing w:beforeLines="50" w:afterLines="50" w:line="360" w:lineRule="auto"/>
        <w:ind w:firstLine="480" w:firstLineChars="200"/>
        <w:rPr>
          <w:rFonts w:hint="default" w:eastAsiaTheme="minorEastAsia"/>
          <w:sz w:val="24"/>
          <w:lang w:val="en-US" w:eastAsia="zh-CN"/>
        </w:rPr>
      </w:pPr>
    </w:p>
    <w:p>
      <w:pPr>
        <w:spacing w:beforeLines="50" w:afterLines="50" w:line="360" w:lineRule="auto"/>
        <w:ind w:firstLine="480" w:firstLineChars="200"/>
        <w:rPr>
          <w:rFonts w:hint="default" w:eastAsiaTheme="minorEastAsia"/>
          <w:sz w:val="24"/>
          <w:lang w:val="en-US" w:eastAsia="zh-CN"/>
        </w:rPr>
      </w:pPr>
    </w:p>
    <w:p>
      <w:pPr>
        <w:spacing w:beforeLines="50" w:afterLines="50" w:line="360" w:lineRule="auto"/>
        <w:ind w:firstLine="480" w:firstLineChars="200"/>
        <w:rPr>
          <w:rFonts w:hint="default" w:eastAsiaTheme="minorEastAsia"/>
          <w:sz w:val="24"/>
          <w:lang w:val="en-US" w:eastAsia="zh-CN"/>
        </w:rPr>
      </w:pPr>
    </w:p>
    <w:p>
      <w:pPr>
        <w:spacing w:beforeLines="50" w:afterLines="50" w:line="360" w:lineRule="auto"/>
        <w:ind w:firstLine="480" w:firstLineChars="200"/>
        <w:rPr>
          <w:rFonts w:hint="default" w:eastAsiaTheme="minorEastAsia"/>
          <w:sz w:val="24"/>
          <w:lang w:val="en-US" w:eastAsia="zh-CN"/>
        </w:rPr>
      </w:pPr>
    </w:p>
    <w:p>
      <w:pPr>
        <w:spacing w:beforeLines="50" w:afterLines="50" w:line="360" w:lineRule="auto"/>
        <w:ind w:firstLine="480" w:firstLineChars="200"/>
        <w:jc w:val="righ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宏信证券有限责任公司</w:t>
      </w:r>
    </w:p>
    <w:p>
      <w:pPr>
        <w:wordWrap w:val="0"/>
        <w:spacing w:beforeLines="50" w:afterLines="50" w:line="360" w:lineRule="auto"/>
        <w:ind w:firstLine="480" w:firstLineChars="200"/>
        <w:jc w:val="right"/>
        <w:rPr>
          <w:rFonts w:hint="default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2020年5月25日</w:t>
      </w:r>
    </w:p>
    <w:p>
      <w:pPr>
        <w:spacing w:beforeLines="50" w:afterLines="50" w:line="360" w:lineRule="auto"/>
        <w:ind w:firstLine="480" w:firstLineChars="200"/>
        <w:rPr>
          <w:rFonts w:hint="eastAsia"/>
          <w:sz w:val="24"/>
          <w:lang w:val="en-US" w:eastAsia="zh-CN"/>
        </w:rPr>
      </w:pPr>
    </w:p>
    <w:p>
      <w:pPr>
        <w:spacing w:beforeLines="50" w:afterLines="50" w:line="360" w:lineRule="auto"/>
        <w:ind w:firstLine="480" w:firstLineChars="200"/>
        <w:rPr>
          <w:rFonts w:hint="default"/>
          <w:sz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624407"/>
    <w:rsid w:val="06EB22C4"/>
    <w:rsid w:val="06FE2642"/>
    <w:rsid w:val="13153C43"/>
    <w:rsid w:val="209969F6"/>
    <w:rsid w:val="22655169"/>
    <w:rsid w:val="291D1270"/>
    <w:rsid w:val="330D5C44"/>
    <w:rsid w:val="335B419A"/>
    <w:rsid w:val="3BBB3F38"/>
    <w:rsid w:val="3C56022C"/>
    <w:rsid w:val="3FE932DF"/>
    <w:rsid w:val="4E21259C"/>
    <w:rsid w:val="5767759E"/>
    <w:rsid w:val="5D4C7E07"/>
    <w:rsid w:val="665E46EE"/>
    <w:rsid w:val="6A624407"/>
    <w:rsid w:val="6C483D3B"/>
    <w:rsid w:val="76306932"/>
    <w:rsid w:val="77B04E2F"/>
    <w:rsid w:val="799E6D5F"/>
    <w:rsid w:val="7CE4429D"/>
    <w:rsid w:val="7F36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2020-05-25T07:45:00Z</dcterms:created>
  <dc:creator>张汶静</dc:creator>
  <cp:lastModifiedBy>红玉GRACE</cp:lastModifiedBy>
  <dcterms:modified xsi:type="dcterms:W3CDTF">2020-05-25T08:57:13Z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